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BA35F" w14:textId="7D0502C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CB3D64">
        <w:rPr>
          <w:rFonts w:ascii="Arial" w:eastAsia="SimSun" w:hAnsi="Arial" w:cs="Times New Roman"/>
          <w:b/>
          <w:bCs/>
          <w:sz w:val="24"/>
          <w:szCs w:val="20"/>
          <w:lang w:eastAsia="ja-JP"/>
        </w:rPr>
        <w:t>R4-</w:t>
      </w:r>
      <w:r w:rsidR="00AE2BA5" w:rsidRPr="00CB3D64">
        <w:rPr>
          <w:rFonts w:ascii="Arial" w:eastAsia="SimSun" w:hAnsi="Arial" w:cs="Times New Roman"/>
          <w:b/>
          <w:bCs/>
          <w:sz w:val="24"/>
          <w:szCs w:val="20"/>
          <w:lang w:eastAsia="zh-CN"/>
        </w:rPr>
        <w:t>2</w:t>
      </w:r>
      <w:r w:rsidR="00EC3094" w:rsidRPr="00CB3D64">
        <w:rPr>
          <w:rFonts w:ascii="Arial" w:eastAsia="SimSun" w:hAnsi="Arial" w:cs="Times New Roman"/>
          <w:b/>
          <w:bCs/>
          <w:sz w:val="24"/>
          <w:szCs w:val="20"/>
          <w:lang w:eastAsia="zh-CN"/>
        </w:rPr>
        <w:t>3</w:t>
      </w:r>
      <w:r w:rsidR="00CB3D64">
        <w:rPr>
          <w:rFonts w:ascii="Arial" w:eastAsia="SimSun" w:hAnsi="Arial" w:cs="Times New Roman"/>
          <w:b/>
          <w:bCs/>
          <w:sz w:val="24"/>
          <w:szCs w:val="20"/>
          <w:lang w:eastAsia="zh-CN"/>
        </w:rPr>
        <w:t>00686</w:t>
      </w:r>
    </w:p>
    <w:p w14:paraId="68A73D04"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72DCAF0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34CA7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F48D096" w14:textId="058C47F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C3094">
        <w:rPr>
          <w:rFonts w:ascii="Arial" w:eastAsia="Calibri" w:hAnsi="Arial" w:cs="Arial"/>
          <w:b/>
          <w:bCs/>
          <w:sz w:val="24"/>
        </w:rPr>
        <w:t>General discussion on Mobile IAB</w:t>
      </w:r>
    </w:p>
    <w:p w14:paraId="0776E6A8" w14:textId="71B1BA1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A0A1B" w:rsidRPr="003A0A1B">
        <w:rPr>
          <w:rFonts w:ascii="Arial" w:eastAsia="MS Mincho" w:hAnsi="Arial" w:cs="Arial"/>
          <w:b/>
          <w:bCs/>
          <w:sz w:val="24"/>
          <w:szCs w:val="20"/>
        </w:rPr>
        <w:t>9.32.1 General and work plan</w:t>
      </w:r>
      <w:r w:rsidR="003A0A1B" w:rsidRPr="003A0A1B" w:rsidDel="003A0A1B">
        <w:rPr>
          <w:rFonts w:ascii="Arial" w:eastAsia="MS Mincho" w:hAnsi="Arial" w:cs="Arial"/>
          <w:b/>
          <w:bCs/>
          <w:sz w:val="24"/>
          <w:szCs w:val="20"/>
        </w:rPr>
        <w:t xml:space="preserve"> </w:t>
      </w:r>
    </w:p>
    <w:p w14:paraId="777B7E8A" w14:textId="4A3D5C73"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EC3094">
        <w:rPr>
          <w:rFonts w:ascii="Arial" w:eastAsia="Calibri" w:hAnsi="Arial" w:cs="Arial"/>
          <w:b/>
          <w:bCs/>
          <w:sz w:val="24"/>
        </w:rPr>
        <w:t>Approval</w:t>
      </w:r>
    </w:p>
    <w:p w14:paraId="57B26739" w14:textId="77777777" w:rsidR="00E323E9" w:rsidRPr="00EF698B" w:rsidRDefault="00E323E9" w:rsidP="00841BCD">
      <w:pPr>
        <w:tabs>
          <w:tab w:val="left" w:pos="1985"/>
        </w:tabs>
        <w:rPr>
          <w:rFonts w:ascii="Arial" w:eastAsia="Calibri" w:hAnsi="Arial" w:cs="Arial"/>
          <w:b/>
          <w:bCs/>
          <w:sz w:val="24"/>
        </w:rPr>
      </w:pPr>
    </w:p>
    <w:p w14:paraId="722ECF8B"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E67BB49" w14:textId="5ADBE499" w:rsidR="003B391E" w:rsidRDefault="003B391E" w:rsidP="005C23A4">
      <w:bookmarkStart w:id="4" w:name="_Hlk125455889"/>
      <w:r>
        <w:t>The justification of the WID</w:t>
      </w:r>
      <w:r w:rsidR="00EC3094">
        <w:t xml:space="preserve"> [1]</w:t>
      </w:r>
      <w:r>
        <w:t xml:space="preserve"> stated following:</w:t>
      </w:r>
    </w:p>
    <w:p w14:paraId="0A74EA4D" w14:textId="282EDA58" w:rsidR="003B391E" w:rsidRPr="0060758A" w:rsidRDefault="003B391E" w:rsidP="003B391E">
      <w:pPr>
        <w:pStyle w:val="maintext"/>
        <w:spacing w:before="0" w:after="20" w:line="240" w:lineRule="auto"/>
        <w:ind w:left="720" w:firstLineChars="0" w:firstLine="0"/>
        <w:rPr>
          <w:rFonts w:eastAsia="Times New Roman" w:cs="Times New Roman"/>
          <w:i/>
          <w:iCs/>
          <w:sz w:val="20"/>
          <w:szCs w:val="20"/>
          <w:lang w:eastAsia="en-US"/>
        </w:rPr>
      </w:pPr>
      <w:r w:rsidRPr="0060758A">
        <w:rPr>
          <w:rFonts w:eastAsia="Times New Roman" w:cs="Times New Roman"/>
          <w:i/>
          <w:iCs/>
          <w:sz w:val="20"/>
          <w:szCs w:val="20"/>
          <w:lang w:eastAsia="en-US"/>
        </w:rPr>
        <w:t xml:space="preserve">The work on Mobile IAB in Rel-18 should focus on the scenario of </w:t>
      </w:r>
      <w:r w:rsidRPr="0060758A">
        <w:rPr>
          <w:rFonts w:eastAsia="Times New Roman" w:cs="Times New Roman"/>
          <w:i/>
          <w:iCs/>
          <w:sz w:val="20"/>
          <w:szCs w:val="20"/>
          <w:u w:val="single"/>
          <w:lang w:eastAsia="en-US"/>
        </w:rPr>
        <w:t>mobile-IAB-nodes mounted on vehicles providing 5G coverage/capacity enhancement to onboard and/or surrounding UEs</w:t>
      </w:r>
      <w:r w:rsidRPr="0060758A">
        <w:rPr>
          <w:rFonts w:eastAsia="Times New Roman" w:cs="Times New Roman"/>
          <w:i/>
          <w:iCs/>
          <w:sz w:val="20"/>
          <w:szCs w:val="20"/>
          <w:lang w:eastAsia="en-US"/>
        </w:rPr>
        <w:t xml:space="preserve">. </w:t>
      </w:r>
    </w:p>
    <w:p w14:paraId="424D369B" w14:textId="77777777" w:rsidR="003B391E" w:rsidRPr="0060758A" w:rsidRDefault="003B391E" w:rsidP="003B391E">
      <w:pPr>
        <w:pStyle w:val="maintext"/>
        <w:spacing w:before="0" w:after="20" w:line="240" w:lineRule="auto"/>
        <w:ind w:left="720" w:firstLineChars="0" w:firstLine="0"/>
        <w:rPr>
          <w:rFonts w:eastAsia="Times New Roman" w:cs="Times New Roman"/>
          <w:i/>
          <w:iCs/>
          <w:sz w:val="20"/>
          <w:szCs w:val="20"/>
          <w:lang w:eastAsia="en-US"/>
        </w:rPr>
      </w:pPr>
      <w:r w:rsidRPr="0060758A">
        <w:rPr>
          <w:rFonts w:eastAsia="Times New Roman" w:cs="Times New Roman"/>
          <w:i/>
          <w:iCs/>
          <w:sz w:val="20"/>
          <w:szCs w:val="20"/>
          <w:lang w:eastAsia="en-US"/>
        </w:rPr>
        <w:t xml:space="preserve">In Rel-18, mobile IAB supports the following functionality, applicable to </w:t>
      </w:r>
      <w:r w:rsidRPr="0060758A">
        <w:rPr>
          <w:rFonts w:eastAsia="Times New Roman" w:cs="Times New Roman"/>
          <w:i/>
          <w:iCs/>
          <w:sz w:val="20"/>
          <w:szCs w:val="20"/>
          <w:u w:val="single"/>
          <w:lang w:eastAsia="en-US"/>
        </w:rPr>
        <w:t>FR1 and FR2</w:t>
      </w:r>
      <w:r w:rsidRPr="0060758A">
        <w:rPr>
          <w:rFonts w:eastAsia="Times New Roman" w:cs="Times New Roman"/>
          <w:i/>
          <w:iCs/>
          <w:sz w:val="20"/>
          <w:szCs w:val="20"/>
          <w:lang w:eastAsia="en-US"/>
        </w:rPr>
        <w:t>:</w:t>
      </w:r>
    </w:p>
    <w:p w14:paraId="2734BFB6" w14:textId="77777777" w:rsidR="003B391E" w:rsidRPr="0060758A" w:rsidRDefault="003B391E" w:rsidP="003B391E">
      <w:pPr>
        <w:pStyle w:val="maintext"/>
        <w:numPr>
          <w:ilvl w:val="0"/>
          <w:numId w:val="27"/>
        </w:numPr>
        <w:spacing w:before="0" w:after="20" w:line="240" w:lineRule="auto"/>
        <w:ind w:left="1440" w:firstLineChars="0"/>
        <w:rPr>
          <w:rFonts w:eastAsia="Times New Roman" w:cs="Times New Roman"/>
          <w:i/>
          <w:iCs/>
          <w:sz w:val="20"/>
          <w:szCs w:val="20"/>
          <w:lang w:eastAsia="en-US"/>
        </w:rPr>
      </w:pPr>
      <w:r w:rsidRPr="0060758A">
        <w:rPr>
          <w:rFonts w:eastAsia="Times New Roman" w:cs="Times New Roman"/>
          <w:i/>
          <w:iCs/>
          <w:sz w:val="20"/>
          <w:szCs w:val="20"/>
          <w:u w:val="single"/>
          <w:lang w:eastAsia="en-US"/>
        </w:rPr>
        <w:t>In-band and out-of-band backhauling</w:t>
      </w:r>
      <w:r w:rsidRPr="0060758A">
        <w:rPr>
          <w:rFonts w:eastAsia="Times New Roman" w:cs="Times New Roman"/>
          <w:i/>
          <w:iCs/>
          <w:sz w:val="20"/>
          <w:szCs w:val="20"/>
          <w:lang w:eastAsia="en-US"/>
        </w:rPr>
        <w:t>.</w:t>
      </w:r>
    </w:p>
    <w:p w14:paraId="2DAB7612" w14:textId="5DE80B0F" w:rsidR="003B391E" w:rsidRPr="0060758A" w:rsidRDefault="003B391E" w:rsidP="003B391E">
      <w:pPr>
        <w:pStyle w:val="maintext"/>
        <w:numPr>
          <w:ilvl w:val="0"/>
          <w:numId w:val="27"/>
        </w:numPr>
        <w:spacing w:before="0" w:after="20" w:line="240" w:lineRule="auto"/>
        <w:ind w:left="1434" w:firstLineChars="0" w:hanging="357"/>
        <w:rPr>
          <w:rFonts w:eastAsia="Times New Roman" w:cs="Times New Roman"/>
          <w:i/>
          <w:iCs/>
          <w:sz w:val="20"/>
          <w:szCs w:val="20"/>
          <w:lang w:eastAsia="en-US"/>
        </w:rPr>
      </w:pPr>
      <w:r w:rsidRPr="0060758A">
        <w:rPr>
          <w:rFonts w:eastAsia="Times New Roman" w:cs="Times New Roman"/>
          <w:i/>
          <w:iCs/>
          <w:sz w:val="20"/>
          <w:szCs w:val="20"/>
          <w:lang w:eastAsia="en-US"/>
        </w:rPr>
        <w:t>The mobile IAB-node should have no descendent IAB-nodes, i.e., it serves only UEs.</w:t>
      </w:r>
    </w:p>
    <w:p w14:paraId="29FD300B" w14:textId="4537FFAF" w:rsidR="003B391E" w:rsidRPr="0060758A" w:rsidRDefault="003B391E" w:rsidP="0060758A">
      <w:pPr>
        <w:pStyle w:val="maintext"/>
        <w:numPr>
          <w:ilvl w:val="0"/>
          <w:numId w:val="27"/>
        </w:numPr>
        <w:spacing w:before="0" w:after="240" w:line="240" w:lineRule="auto"/>
        <w:ind w:left="1434" w:firstLineChars="0" w:hanging="357"/>
        <w:rPr>
          <w:rFonts w:eastAsia="Times New Roman" w:cs="Times New Roman"/>
          <w:i/>
          <w:iCs/>
          <w:sz w:val="20"/>
          <w:szCs w:val="20"/>
          <w:lang w:eastAsia="en-US"/>
        </w:rPr>
      </w:pPr>
      <w:r w:rsidRPr="0060758A">
        <w:rPr>
          <w:rFonts w:eastAsia="Times New Roman" w:cs="Times New Roman"/>
          <w:i/>
          <w:iCs/>
          <w:sz w:val="20"/>
          <w:szCs w:val="20"/>
          <w:lang w:eastAsia="en-US"/>
        </w:rPr>
        <w:t>Solutions should support UE HO and UE DC</w:t>
      </w:r>
    </w:p>
    <w:p w14:paraId="67393C44" w14:textId="3732A1D9" w:rsidR="003B391E" w:rsidRDefault="003B391E" w:rsidP="003B391E">
      <w:pPr>
        <w:rPr>
          <w:rFonts w:eastAsia="Times New Roman" w:cs="Times New Roman"/>
        </w:rPr>
      </w:pPr>
      <w:r>
        <w:rPr>
          <w:rFonts w:eastAsia="Times New Roman" w:cs="Times New Roman"/>
        </w:rPr>
        <w:t>The underlined point will be relevant for RAN4 work providing the basis for the scenario assumptions and consequently the requirements for the mobile IAB operation.</w:t>
      </w:r>
    </w:p>
    <w:p w14:paraId="2C77E38A" w14:textId="44AB4EB8" w:rsidR="003B391E" w:rsidRDefault="003B391E" w:rsidP="003B391E">
      <w:pPr>
        <w:rPr>
          <w:rFonts w:eastAsia="Times New Roman" w:cs="Times New Roman"/>
        </w:rPr>
      </w:pPr>
      <w:r>
        <w:rPr>
          <w:rFonts w:eastAsia="Times New Roman" w:cs="Times New Roman"/>
        </w:rPr>
        <w:t xml:space="preserve">The WI objectives specific for RAN4 </w:t>
      </w:r>
      <w:r w:rsidR="00B85140">
        <w:rPr>
          <w:rFonts w:eastAsia="Times New Roman" w:cs="Times New Roman"/>
        </w:rPr>
        <w:t>were defined as follows:</w:t>
      </w:r>
    </w:p>
    <w:p w14:paraId="3A8AF564" w14:textId="77777777" w:rsidR="00B85140" w:rsidRPr="0060758A" w:rsidRDefault="00B85140" w:rsidP="00B85140">
      <w:pPr>
        <w:pStyle w:val="maintext"/>
        <w:spacing w:line="240" w:lineRule="auto"/>
        <w:ind w:left="720" w:firstLineChars="0" w:firstLine="0"/>
        <w:jc w:val="left"/>
        <w:rPr>
          <w:rFonts w:eastAsia="Times New Roman" w:cs="Times New Roman"/>
          <w:i/>
          <w:iCs/>
          <w:sz w:val="20"/>
          <w:szCs w:val="20"/>
          <w:lang w:eastAsia="en-US"/>
        </w:rPr>
      </w:pPr>
      <w:r w:rsidRPr="0060758A">
        <w:rPr>
          <w:rFonts w:eastAsia="Times New Roman" w:cs="Times New Roman"/>
          <w:i/>
          <w:iCs/>
          <w:sz w:val="20"/>
          <w:szCs w:val="20"/>
          <w:lang w:eastAsia="en-US"/>
        </w:rPr>
        <w:t>RAN4 is expected to study impact on RF and RRM requirements:</w:t>
      </w:r>
    </w:p>
    <w:p w14:paraId="7FF4D537" w14:textId="77777777" w:rsidR="00B85140" w:rsidRPr="0060758A" w:rsidRDefault="00B85140" w:rsidP="00B85140">
      <w:pPr>
        <w:pStyle w:val="maintext"/>
        <w:numPr>
          <w:ilvl w:val="0"/>
          <w:numId w:val="28"/>
        </w:numPr>
        <w:spacing w:before="0" w:after="0" w:line="240" w:lineRule="auto"/>
        <w:ind w:left="1434" w:firstLineChars="0" w:hanging="357"/>
        <w:jc w:val="left"/>
        <w:rPr>
          <w:rFonts w:eastAsia="Times New Roman" w:cs="Times New Roman"/>
          <w:i/>
          <w:iCs/>
          <w:sz w:val="20"/>
          <w:szCs w:val="20"/>
          <w:lang w:eastAsia="en-US"/>
        </w:rPr>
      </w:pPr>
      <w:r w:rsidRPr="0060758A">
        <w:rPr>
          <w:rFonts w:eastAsia="Times New Roman" w:cs="Times New Roman"/>
          <w:i/>
          <w:iCs/>
          <w:sz w:val="20"/>
          <w:szCs w:val="20"/>
          <w:lang w:eastAsia="en-US"/>
        </w:rPr>
        <w:t xml:space="preserve">Conduct co-existence study to assess the impact of moving cells. Based on the study outcome, specify RF and RRM requirements and mechanisms for the mobile IAB-node to enable co-existence, if needed. </w:t>
      </w:r>
    </w:p>
    <w:p w14:paraId="6EA4A1A7" w14:textId="77777777" w:rsidR="00B85140" w:rsidRPr="0060758A" w:rsidRDefault="00B85140" w:rsidP="00B85140">
      <w:pPr>
        <w:pStyle w:val="maintext"/>
        <w:numPr>
          <w:ilvl w:val="0"/>
          <w:numId w:val="28"/>
        </w:numPr>
        <w:spacing w:before="0" w:line="240" w:lineRule="auto"/>
        <w:ind w:left="1434" w:firstLineChars="0" w:hanging="357"/>
        <w:jc w:val="left"/>
        <w:rPr>
          <w:rFonts w:eastAsia="Times New Roman" w:cs="Times New Roman"/>
          <w:i/>
          <w:iCs/>
          <w:sz w:val="20"/>
          <w:szCs w:val="20"/>
          <w:lang w:eastAsia="en-US"/>
        </w:rPr>
      </w:pPr>
      <w:r w:rsidRPr="0060758A">
        <w:rPr>
          <w:rFonts w:eastAsia="Times New Roman" w:cs="Times New Roman"/>
          <w:i/>
          <w:iCs/>
          <w:sz w:val="20"/>
          <w:szCs w:val="20"/>
          <w:lang w:eastAsia="en-US"/>
        </w:rPr>
        <w:t>Specify RRM requirements for the mobile IAB-node to enable IAB-node mobility, if needed.</w:t>
      </w:r>
    </w:p>
    <w:p w14:paraId="640D22E4" w14:textId="77777777" w:rsidR="00445629" w:rsidRDefault="00445629" w:rsidP="005C23A4"/>
    <w:bookmarkEnd w:id="4"/>
    <w:p w14:paraId="2143DDF3" w14:textId="308E2CF7" w:rsidR="00E323E9" w:rsidRDefault="00B85140" w:rsidP="005C23A4">
      <w:r>
        <w:t>In this paper, we elaborate general issues related to studies and normative work anticipated for RAN4 considering the scope and targets of the Rel.18 Mobile IAB WI.</w:t>
      </w:r>
    </w:p>
    <w:p w14:paraId="595FC44A" w14:textId="77777777" w:rsidR="00445629" w:rsidRDefault="00445629" w:rsidP="005C23A4"/>
    <w:p w14:paraId="16DD8A06" w14:textId="77777777" w:rsidR="003B659E" w:rsidRPr="00EF698B" w:rsidRDefault="003B659E" w:rsidP="00AE56B1">
      <w:pPr>
        <w:pStyle w:val="RAN4H1"/>
        <w:rPr>
          <w:lang w:val="en-US"/>
        </w:rPr>
      </w:pPr>
      <w:bookmarkStart w:id="5" w:name="_Toc116995842"/>
      <w:r w:rsidRPr="00EF698B">
        <w:rPr>
          <w:lang w:val="en-US"/>
        </w:rPr>
        <w:t>Discussion</w:t>
      </w:r>
      <w:bookmarkEnd w:id="5"/>
    </w:p>
    <w:p w14:paraId="6C9FEDB3" w14:textId="77777777" w:rsidR="0060543D" w:rsidRDefault="0060543D" w:rsidP="00300956"/>
    <w:p w14:paraId="4E6EEBC8" w14:textId="0EE7CA3C" w:rsidR="00CB22B2" w:rsidRDefault="00B85140" w:rsidP="00496606">
      <w:pPr>
        <w:pStyle w:val="RAN4H2"/>
      </w:pPr>
      <w:r>
        <w:t>Co-existence</w:t>
      </w:r>
      <w:r w:rsidR="00D01D45">
        <w:t xml:space="preserve"> studies</w:t>
      </w:r>
    </w:p>
    <w:p w14:paraId="4247D295" w14:textId="0776883E" w:rsidR="00DE5973" w:rsidRDefault="005A7756" w:rsidP="005853A9">
      <w:bookmarkStart w:id="6" w:name="_Hlk125455947"/>
      <w:r>
        <w:t xml:space="preserve">Mobility of the IAB-nodes cause time varying distance between interfering node and the victim node, consequently varying interference scenarios. </w:t>
      </w:r>
      <w:r w:rsidR="005853A9">
        <w:t xml:space="preserve">Proper analysis of the co-existence issues requires considerations of relevant mobile IAB scenarios and assumptions for the mobile IAB-node capabilities. Detailed elaboration of the options </w:t>
      </w:r>
      <w:r w:rsidR="00EC3094">
        <w:t xml:space="preserve">we </w:t>
      </w:r>
      <w:r w:rsidR="005853A9">
        <w:t xml:space="preserve">discussed in </w:t>
      </w:r>
      <w:r w:rsidR="00EC3094">
        <w:t xml:space="preserve">our accompanied contribution </w:t>
      </w:r>
      <w:r w:rsidR="005853A9">
        <w:t>[2].</w:t>
      </w:r>
    </w:p>
    <w:p w14:paraId="47804D04" w14:textId="61D5C7AF" w:rsidR="00EC3094" w:rsidRDefault="00EC3094" w:rsidP="00EC3094">
      <w:pPr>
        <w:pStyle w:val="RAN4observation0"/>
      </w:pPr>
      <w:bookmarkStart w:id="7" w:name="_Toc127462382"/>
      <w:r>
        <w:t>Proper analysis of the co-existence issues requires considerations of relevant mobile IAB scenarios and assumptions for the mobile IAB-node capabilities.</w:t>
      </w:r>
      <w:bookmarkEnd w:id="7"/>
    </w:p>
    <w:p w14:paraId="40243133" w14:textId="77777777" w:rsidR="00EC3094" w:rsidRPr="00EC3094" w:rsidRDefault="00EC3094" w:rsidP="005853A9"/>
    <w:p w14:paraId="07E62CB1" w14:textId="3C4F050C" w:rsidR="006C7DAB" w:rsidRDefault="006C7DAB" w:rsidP="00DE5973">
      <w:r>
        <w:lastRenderedPageBreak/>
        <w:t>For all such scenarios, RAN4 should conduct adequate studies to determine firstly relevant scenarios and their priorities for Rel.18 work, and secondly, determine suitable</w:t>
      </w:r>
      <w:r w:rsidR="005853A9">
        <w:t xml:space="preserve"> set of</w:t>
      </w:r>
      <w:r>
        <w:t xml:space="preserve"> parameter values for the selected deployment and operational scenarios.</w:t>
      </w:r>
      <w:r w:rsidR="00726118">
        <w:t xml:space="preserve"> Simulations may be utilized to support the determination of the parameter values.</w:t>
      </w:r>
      <w:bookmarkEnd w:id="6"/>
    </w:p>
    <w:p w14:paraId="5A03796D" w14:textId="468C3FA4" w:rsidR="00E437D2" w:rsidRPr="00E55751" w:rsidRDefault="005853A9" w:rsidP="00E55751">
      <w:pPr>
        <w:pStyle w:val="RAN4proposal"/>
      </w:pPr>
      <w:bookmarkStart w:id="8" w:name="_Toc127462383"/>
      <w:r>
        <w:t>The study phase shall determine relevant scenarios</w:t>
      </w:r>
      <w:r w:rsidR="006D6ACD">
        <w:t>, their priorities</w:t>
      </w:r>
      <w:r>
        <w:t xml:space="preserve"> and parameter values as the basis for Rel.18 mobile IAB requirements.</w:t>
      </w:r>
      <w:bookmarkEnd w:id="8"/>
    </w:p>
    <w:p w14:paraId="2A664921" w14:textId="3177C21A" w:rsidR="00BF475E" w:rsidRDefault="00BF475E" w:rsidP="00BF475E">
      <w:pPr>
        <w:pStyle w:val="RAN4observation0"/>
      </w:pPr>
      <w:bookmarkStart w:id="9" w:name="_Toc127462384"/>
      <w:bookmarkStart w:id="10" w:name="_Toc127462385"/>
      <w:bookmarkEnd w:id="9"/>
      <w:r>
        <w:t>Appropriate work plan should be agreed to include respective time for co-existence study phase.</w:t>
      </w:r>
      <w:bookmarkEnd w:id="10"/>
      <w:r>
        <w:t xml:space="preserve"> </w:t>
      </w:r>
    </w:p>
    <w:p w14:paraId="0044472E" w14:textId="3C5BB5C9" w:rsidR="00BF475E" w:rsidRDefault="00BF475E" w:rsidP="00BF475E">
      <w:pPr>
        <w:pStyle w:val="RAN4H2"/>
      </w:pPr>
      <w:r>
        <w:t>RF core requirements</w:t>
      </w:r>
    </w:p>
    <w:p w14:paraId="669C8EE7" w14:textId="553FC898" w:rsidR="005853A9" w:rsidRDefault="003936CC" w:rsidP="005C23A4">
      <w:pPr>
        <w:rPr>
          <w:lang w:val="en-GB"/>
        </w:rPr>
      </w:pPr>
      <w:r w:rsidRPr="21BE310A">
        <w:rPr>
          <w:lang w:val="en-GB"/>
        </w:rPr>
        <w:t>Core IAB specification support also very limited output power control dynamics for IAB-MT. High output power and minimal power control is possible for IAB-MT due to planned network geometry for nodes which are static. However, for mobile IAB with mobility of IAB-node output power should be reconsider</w:t>
      </w:r>
      <w:r w:rsidR="39202B67" w:rsidRPr="21BE310A">
        <w:rPr>
          <w:lang w:val="en-GB"/>
        </w:rPr>
        <w:t>ed</w:t>
      </w:r>
      <w:r w:rsidRPr="21BE310A">
        <w:rPr>
          <w:lang w:val="en-GB"/>
        </w:rPr>
        <w:t xml:space="preserve">. For comparison NR UE output power range is 63 dB: it is from +23 up to -40 dBm. </w:t>
      </w:r>
      <w:r w:rsidR="006D3B4E" w:rsidRPr="21BE310A">
        <w:rPr>
          <w:lang w:val="en-GB"/>
        </w:rPr>
        <w:t>We discuss more details on RF requirements for mobile IAB in [</w:t>
      </w:r>
      <w:r w:rsidR="5818B717" w:rsidRPr="21BE310A">
        <w:rPr>
          <w:lang w:val="en-GB"/>
        </w:rPr>
        <w:t>4</w:t>
      </w:r>
      <w:r w:rsidR="006D3B4E" w:rsidRPr="21BE310A">
        <w:rPr>
          <w:lang w:val="en-GB"/>
        </w:rPr>
        <w:t>].</w:t>
      </w:r>
      <w:r w:rsidRPr="21BE310A">
        <w:rPr>
          <w:lang w:val="en-GB"/>
        </w:rPr>
        <w:t xml:space="preserve"> </w:t>
      </w:r>
    </w:p>
    <w:p w14:paraId="35F54847" w14:textId="77777777" w:rsidR="003936CC" w:rsidRPr="00D868A6" w:rsidRDefault="003936CC" w:rsidP="005C23A4">
      <w:pPr>
        <w:rPr>
          <w:lang w:val="en-GB"/>
        </w:rPr>
      </w:pPr>
    </w:p>
    <w:p w14:paraId="58FA9309" w14:textId="0AFF476A" w:rsidR="005853A9" w:rsidRDefault="00B21AA1" w:rsidP="005853A9">
      <w:pPr>
        <w:pStyle w:val="RAN4H2"/>
      </w:pPr>
      <w:r>
        <w:t xml:space="preserve">On </w:t>
      </w:r>
      <w:r w:rsidR="005853A9">
        <w:t xml:space="preserve">RRM </w:t>
      </w:r>
      <w:r w:rsidR="00230B60">
        <w:t>requirements</w:t>
      </w:r>
    </w:p>
    <w:p w14:paraId="49C2FFD1" w14:textId="0A34C7B3" w:rsidR="004D0FFC" w:rsidRDefault="006E58FB" w:rsidP="005853A9">
      <w:r>
        <w:t>The baseline for mobile IAB mobility requirements is the requirements specified for UEs</w:t>
      </w:r>
      <w:r w:rsidR="0060758A">
        <w:t>, [3]</w:t>
      </w:r>
      <w:r>
        <w:t>. In practice there are no principal difference between mobile IAB and UE mobility scenario even though the mobile IAB-node is assumed to be installed in a vehicle. Hence, there does not seem to be need for extensive or lengthy study on IAB mobility.</w:t>
      </w:r>
      <w:r w:rsidR="329A3E1D">
        <w:t xml:space="preserve"> </w:t>
      </w:r>
      <w:r w:rsidR="004D0FFC">
        <w:t>For</w:t>
      </w:r>
      <w:r w:rsidR="00163417">
        <w:t xml:space="preserve"> some special deployments</w:t>
      </w:r>
      <w:r w:rsidR="00FD2FE5">
        <w:t xml:space="preserve"> such as HST,</w:t>
      </w:r>
      <w:r w:rsidR="004D0FFC">
        <w:t xml:space="preserve"> </w:t>
      </w:r>
      <w:r w:rsidR="00FD2FE5">
        <w:t>its support can be</w:t>
      </w:r>
      <w:r w:rsidR="004D0FFC">
        <w:t xml:space="preserve"> an IAB-MT capability. If </w:t>
      </w:r>
      <w:r w:rsidR="00FD2FE5">
        <w:t>IAB-MT support</w:t>
      </w:r>
      <w:r w:rsidR="00486C42">
        <w:t>s</w:t>
      </w:r>
      <w:r w:rsidR="00FD2FE5">
        <w:t xml:space="preserve"> </w:t>
      </w:r>
      <w:r w:rsidR="004D0FFC">
        <w:t>HST scenario, then</w:t>
      </w:r>
      <w:r w:rsidR="00834973">
        <w:t xml:space="preserve"> existing</w:t>
      </w:r>
      <w:r w:rsidR="004D0FFC">
        <w:t xml:space="preserve"> enhanced HST RRM requirements can apply.</w:t>
      </w:r>
    </w:p>
    <w:p w14:paraId="01C8F1D4" w14:textId="3E8FA5E8" w:rsidR="00834973" w:rsidRDefault="00826A06" w:rsidP="002D476C">
      <w:pPr>
        <w:pStyle w:val="RAN4proposal"/>
      </w:pPr>
      <w:bookmarkStart w:id="11" w:name="_Toc127462386"/>
      <w:r>
        <w:t>RRM</w:t>
      </w:r>
      <w:bookmarkEnd w:id="11"/>
      <w:r>
        <w:t xml:space="preserve"> </w:t>
      </w:r>
      <w:bookmarkStart w:id="12" w:name="_Toc127462387"/>
      <w:r>
        <w:t>mobility</w:t>
      </w:r>
      <w:r w:rsidR="006E58FB">
        <w:t xml:space="preserve"> requirements for mobile IAB can use UE requirements as the baseline not needing extensive study in Rel.18.</w:t>
      </w:r>
      <w:bookmarkEnd w:id="12"/>
    </w:p>
    <w:p w14:paraId="092BD5F4" w14:textId="27A6515E" w:rsidR="00340F8E" w:rsidRDefault="00340F8E" w:rsidP="00D868A6">
      <w:pPr>
        <w:pStyle w:val="RAN4proposal"/>
      </w:pPr>
      <w:bookmarkStart w:id="13" w:name="_Toc127462388"/>
      <w:r>
        <w:t>Applicability of enhanced RRM requirements (such as support of HST scenarios) can be based</w:t>
      </w:r>
      <w:r w:rsidR="459731C1">
        <w:t xml:space="preserve"> </w:t>
      </w:r>
      <w:r w:rsidR="00B60D31">
        <w:t>on</w:t>
      </w:r>
      <w:r w:rsidR="459731C1">
        <w:t xml:space="preserve"> IAB-MT capability.</w:t>
      </w:r>
      <w:bookmarkStart w:id="14" w:name="_Toc127462389"/>
      <w:bookmarkEnd w:id="13"/>
      <w:bookmarkEnd w:id="14"/>
    </w:p>
    <w:p w14:paraId="57224160" w14:textId="627B5734" w:rsidR="00340F8E" w:rsidRDefault="00340F8E" w:rsidP="00340F8E">
      <w:r>
        <w:t xml:space="preserve">As discussed in [3], UE RRM </w:t>
      </w:r>
      <w:r w:rsidR="00230B60">
        <w:t xml:space="preserve">UL TX timing </w:t>
      </w:r>
      <w:r>
        <w:t>requirements shall be the baseline for the IAB-MT. Cell phase synchronization is relevant for mobile IAB-DU and existing requirement shall apply.</w:t>
      </w:r>
    </w:p>
    <w:p w14:paraId="5E4533A6" w14:textId="226BED91" w:rsidR="002D476C" w:rsidRPr="002D18AD" w:rsidRDefault="002D476C" w:rsidP="006D3B4E">
      <w:pPr>
        <w:pStyle w:val="RAN4proposal"/>
      </w:pPr>
      <w:bookmarkStart w:id="15" w:name="_Toc127462390"/>
      <w:bookmarkStart w:id="16" w:name="_Toc127462391"/>
      <w:bookmarkStart w:id="17" w:name="_Toc127462392"/>
      <w:bookmarkEnd w:id="15"/>
      <w:bookmarkEnd w:id="16"/>
      <w:r>
        <w:t xml:space="preserve">UE requirements </w:t>
      </w:r>
      <w:r w:rsidR="004A275E">
        <w:t xml:space="preserve">on UL TX </w:t>
      </w:r>
      <w:r>
        <w:t>timing shall be the baseline for mobile IAB</w:t>
      </w:r>
      <w:r w:rsidR="004A275E">
        <w:t xml:space="preserve"> and</w:t>
      </w:r>
      <w:r>
        <w:t xml:space="preserve"> </w:t>
      </w:r>
      <w:r w:rsidR="004A275E">
        <w:t>c</w:t>
      </w:r>
      <w:r>
        <w:t>ell phase synchronization shall apply for DU TX timing.</w:t>
      </w:r>
      <w:bookmarkStart w:id="18" w:name="_Toc127462393"/>
      <w:bookmarkEnd w:id="17"/>
      <w:bookmarkEnd w:id="18"/>
    </w:p>
    <w:p w14:paraId="578467AA" w14:textId="21859C0F" w:rsidR="0060543D" w:rsidRDefault="086270C2" w:rsidP="2112AD26">
      <w:r>
        <w:t>Based on the assumptions above</w:t>
      </w:r>
      <w:r w:rsidR="00CF1C5D">
        <w:t xml:space="preserve"> and also in [3]</w:t>
      </w:r>
      <w:r>
        <w:t xml:space="preserve">, </w:t>
      </w:r>
      <w:r w:rsidR="2112AD26">
        <w:t>the efforts needed in RAN4 on RRM is expected to be low.</w:t>
      </w:r>
    </w:p>
    <w:p w14:paraId="6BB7A77D" w14:textId="5E8D5625" w:rsidR="002E243B" w:rsidRDefault="00FE34C0" w:rsidP="00D868A6">
      <w:pPr>
        <w:pStyle w:val="RAN4observation0"/>
      </w:pPr>
      <w:bookmarkStart w:id="19" w:name="_Toc127462394"/>
      <w:r>
        <w:t xml:space="preserve">It can be expected the efforts needed for the analysis of RAN4 RRM requirements for mobile IAB </w:t>
      </w:r>
      <w:r w:rsidR="00DD69BB">
        <w:t>will be low.</w:t>
      </w:r>
      <w:bookmarkStart w:id="20" w:name="_Toc127462395"/>
      <w:bookmarkEnd w:id="19"/>
      <w:bookmarkEnd w:id="20"/>
    </w:p>
    <w:p w14:paraId="2DBF0B3A" w14:textId="77777777" w:rsidR="006E58FB" w:rsidRPr="0060543D" w:rsidRDefault="006E58FB"/>
    <w:p w14:paraId="0D89D06F" w14:textId="77777777" w:rsidR="00CD7492" w:rsidRPr="00EF698B" w:rsidRDefault="00CD7492" w:rsidP="00A37002">
      <w:pPr>
        <w:pStyle w:val="RAN4H1"/>
        <w:rPr>
          <w:lang w:val="en-US"/>
        </w:rPr>
      </w:pPr>
      <w:bookmarkStart w:id="21" w:name="_Toc116995848"/>
      <w:r w:rsidRPr="00EF698B">
        <w:rPr>
          <w:lang w:val="en-US"/>
        </w:rPr>
        <w:t>Conclusion</w:t>
      </w:r>
      <w:bookmarkEnd w:id="21"/>
    </w:p>
    <w:p w14:paraId="1ECD3A92" w14:textId="224DA141" w:rsidR="002D18AD" w:rsidRDefault="002D18AD" w:rsidP="002D18AD">
      <w:r>
        <w:t>In this paper, we elaborate general issues related to studies and normative work anticipated for RAN4 considering the scope and targets of the Rel.18 Mobile IAB WI. We have made following observations and proposals:</w:t>
      </w:r>
    </w:p>
    <w:p w14:paraId="3C5F55A7" w14:textId="7D829DB4" w:rsidR="006D3B4E"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462382" w:history="1">
        <w:r w:rsidR="006D3B4E" w:rsidRPr="00D503D8">
          <w:rPr>
            <w:rStyle w:val="Hyperlink"/>
            <w:b/>
            <w:noProof/>
          </w:rPr>
          <w:t>Observation 1:</w:t>
        </w:r>
        <w:r w:rsidR="006D3B4E" w:rsidRPr="00D503D8">
          <w:rPr>
            <w:rStyle w:val="Hyperlink"/>
            <w:noProof/>
          </w:rPr>
          <w:t xml:space="preserve"> Proper analysis of the co-existence issues requires considerations of relevant mobile IAB scenarios and assumptions for the mobile IAB-node capabilities.</w:t>
        </w:r>
      </w:hyperlink>
    </w:p>
    <w:p w14:paraId="3065B239" w14:textId="02690650"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83" w:history="1">
        <w:r w:rsidRPr="00D503D8">
          <w:rPr>
            <w:rStyle w:val="Hyperlink"/>
            <w:noProof/>
          </w:rPr>
          <w:t>Proposal 1: The study phase shall determine relevant scenarios, their priorities and parameter values as the basis for Rel.18 mobile IAB requirements.</w:t>
        </w:r>
      </w:hyperlink>
    </w:p>
    <w:p w14:paraId="48730448" w14:textId="072B2E25" w:rsidR="006D3B4E" w:rsidRDefault="006D3B4E">
      <w:pPr>
        <w:pStyle w:val="TOC4"/>
        <w:tabs>
          <w:tab w:val="right" w:leader="dot" w:pos="9617"/>
        </w:tabs>
        <w:rPr>
          <w:rFonts w:asciiTheme="minorHAnsi" w:eastAsiaTheme="minorEastAsia" w:hAnsiTheme="minorHAnsi"/>
          <w:noProof/>
          <w:sz w:val="22"/>
          <w:lang w:val="en-GB" w:eastAsia="en-GB"/>
        </w:rPr>
      </w:pPr>
      <w:hyperlink w:anchor="_Toc127462385" w:history="1">
        <w:r w:rsidRPr="00D503D8">
          <w:rPr>
            <w:rStyle w:val="Hyperlink"/>
            <w:b/>
            <w:noProof/>
          </w:rPr>
          <w:t>Observation 2:</w:t>
        </w:r>
        <w:r w:rsidRPr="00D503D8">
          <w:rPr>
            <w:rStyle w:val="Hyperlink"/>
            <w:noProof/>
          </w:rPr>
          <w:t xml:space="preserve"> Appropriate work plan should be agreed to include respective time for co-existence study phase.</w:t>
        </w:r>
      </w:hyperlink>
    </w:p>
    <w:p w14:paraId="7F78143F" w14:textId="797A31B2"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86" w:history="1">
        <w:r w:rsidRPr="00D503D8">
          <w:rPr>
            <w:rStyle w:val="Hyperlink"/>
            <w:noProof/>
          </w:rPr>
          <w:t xml:space="preserve"> RRM</w:t>
        </w:r>
      </w:hyperlink>
    </w:p>
    <w:p w14:paraId="3CADA9C6" w14:textId="016854F8"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87" w:history="1">
        <w:r w:rsidRPr="00D503D8">
          <w:rPr>
            <w:rStyle w:val="Hyperlink"/>
            <w:noProof/>
          </w:rPr>
          <w:t>Proposal 2: mobility requirements for mobile IAB can use UE requirements as the baseline not needing extensive study in Rel.18.</w:t>
        </w:r>
      </w:hyperlink>
    </w:p>
    <w:p w14:paraId="6D56F88E" w14:textId="30AB47D3"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88" w:history="1">
        <w:r w:rsidRPr="00D503D8">
          <w:rPr>
            <w:rStyle w:val="Hyperlink"/>
            <w:noProof/>
          </w:rPr>
          <w:t xml:space="preserve"> Applicability of enhanced RRM requirements (such as support of HST scenarios) can be based on IAB-MT capability.</w:t>
        </w:r>
      </w:hyperlink>
    </w:p>
    <w:p w14:paraId="3C8A4171" w14:textId="35778BF8"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89" w:history="1">
        <w:r w:rsidRPr="00D503D8">
          <w:rPr>
            <w:rStyle w:val="Hyperlink"/>
            <w:noProof/>
          </w:rPr>
          <w:t>Proposal 3:</w:t>
        </w:r>
      </w:hyperlink>
    </w:p>
    <w:p w14:paraId="1EFD6E95" w14:textId="0A276A16"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92" w:history="1">
        <w:r w:rsidRPr="00D503D8">
          <w:rPr>
            <w:rStyle w:val="Hyperlink"/>
            <w:noProof/>
          </w:rPr>
          <w:t>UE requirements on UL TX timing shall be the baseline for mobile IAB and cell phase synchronization shall apply for DU TX timing.</w:t>
        </w:r>
      </w:hyperlink>
    </w:p>
    <w:p w14:paraId="7B881E7F" w14:textId="4E97B6EE" w:rsidR="006D3B4E" w:rsidRDefault="006D3B4E">
      <w:pPr>
        <w:pStyle w:val="TOC5"/>
        <w:tabs>
          <w:tab w:val="right" w:leader="dot" w:pos="9617"/>
        </w:tabs>
        <w:rPr>
          <w:rFonts w:asciiTheme="minorHAnsi" w:eastAsiaTheme="minorEastAsia" w:hAnsiTheme="minorHAnsi"/>
          <w:b w:val="0"/>
          <w:noProof/>
          <w:sz w:val="22"/>
          <w:lang w:val="en-GB" w:eastAsia="en-GB"/>
        </w:rPr>
      </w:pPr>
      <w:hyperlink w:anchor="_Toc127462393" w:history="1">
        <w:r w:rsidRPr="00D503D8">
          <w:rPr>
            <w:rStyle w:val="Hyperlink"/>
            <w:noProof/>
          </w:rPr>
          <w:t>Proposal 4:</w:t>
        </w:r>
      </w:hyperlink>
    </w:p>
    <w:p w14:paraId="3006DC35" w14:textId="32CBB31E" w:rsidR="006D3B4E" w:rsidRDefault="006D3B4E">
      <w:pPr>
        <w:pStyle w:val="TOC4"/>
        <w:tabs>
          <w:tab w:val="right" w:leader="dot" w:pos="9617"/>
        </w:tabs>
        <w:rPr>
          <w:rFonts w:asciiTheme="minorHAnsi" w:eastAsiaTheme="minorEastAsia" w:hAnsiTheme="minorHAnsi"/>
          <w:noProof/>
          <w:sz w:val="22"/>
          <w:lang w:val="en-GB" w:eastAsia="en-GB"/>
        </w:rPr>
      </w:pPr>
      <w:hyperlink w:anchor="_Toc127462394" w:history="1">
        <w:r w:rsidRPr="00D503D8">
          <w:rPr>
            <w:rStyle w:val="Hyperlink"/>
            <w:noProof/>
          </w:rPr>
          <w:t xml:space="preserve"> It can be expected the efforts needed for the analysis of RAN4 RRM requirements for mobile IAB will be low.</w:t>
        </w:r>
      </w:hyperlink>
    </w:p>
    <w:p w14:paraId="123AB0A7" w14:textId="51A0353E" w:rsidR="006D3B4E" w:rsidRDefault="006D3B4E">
      <w:pPr>
        <w:pStyle w:val="TOC4"/>
        <w:tabs>
          <w:tab w:val="right" w:leader="dot" w:pos="9617"/>
        </w:tabs>
        <w:rPr>
          <w:rFonts w:asciiTheme="minorHAnsi" w:eastAsiaTheme="minorEastAsia" w:hAnsiTheme="minorHAnsi"/>
          <w:noProof/>
          <w:sz w:val="22"/>
          <w:lang w:val="en-GB" w:eastAsia="en-GB"/>
        </w:rPr>
      </w:pPr>
      <w:hyperlink w:anchor="_Toc127462395" w:history="1">
        <w:r w:rsidRPr="00D503D8">
          <w:rPr>
            <w:rStyle w:val="Hyperlink"/>
            <w:b/>
            <w:noProof/>
          </w:rPr>
          <w:t>Observation 3:</w:t>
        </w:r>
      </w:hyperlink>
    </w:p>
    <w:p w14:paraId="505E5962" w14:textId="77777777" w:rsidR="003B659E" w:rsidRPr="0060543D" w:rsidRDefault="00A4355E" w:rsidP="0060543D">
      <w:pPr>
        <w:pStyle w:val="RAN4H1"/>
        <w:numPr>
          <w:ilvl w:val="0"/>
          <w:numId w:val="0"/>
        </w:numPr>
        <w:ind w:left="360" w:hanging="360"/>
      </w:pPr>
      <w:r>
        <w:rPr>
          <w:noProof/>
        </w:rPr>
        <w:fldChar w:fldCharType="end"/>
      </w:r>
      <w:bookmarkStart w:id="22" w:name="_Toc116995849"/>
      <w:r w:rsidR="003B659E" w:rsidRPr="00EF698B">
        <w:t>References</w:t>
      </w:r>
      <w:bookmarkEnd w:id="22"/>
    </w:p>
    <w:p w14:paraId="696669F8" w14:textId="39C71248" w:rsidR="00B85140" w:rsidRDefault="00D40288" w:rsidP="00D66188">
      <w:pPr>
        <w:pStyle w:val="ListParagraph"/>
        <w:numPr>
          <w:ilvl w:val="0"/>
          <w:numId w:val="21"/>
        </w:numPr>
        <w:ind w:right="-22"/>
      </w:pPr>
      <w:bookmarkStart w:id="23" w:name="_Ref114500673"/>
      <w:bookmarkStart w:id="24" w:name="_Hlk125456113"/>
      <w:bookmarkEnd w:id="23"/>
      <w:r w:rsidRPr="00B85140">
        <w:t>R</w:t>
      </w:r>
      <w:r w:rsidR="00B85140" w:rsidRPr="00B85140">
        <w:t>P</w:t>
      </w:r>
      <w:r w:rsidRPr="00B85140">
        <w:t>-</w:t>
      </w:r>
      <w:r w:rsidR="00B85140" w:rsidRPr="00B85140">
        <w:t>222671</w:t>
      </w:r>
      <w:r w:rsidRPr="00B85140">
        <w:t>,</w:t>
      </w:r>
      <w:r w:rsidR="000040DC" w:rsidRPr="00B85140">
        <w:t xml:space="preserve"> </w:t>
      </w:r>
      <w:r w:rsidR="00B85140" w:rsidRPr="00B85140">
        <w:rPr>
          <w:i/>
          <w:iCs/>
        </w:rPr>
        <w:t>Mobile IAB (Integrated Access and Backhaul) for NR</w:t>
      </w:r>
      <w:r w:rsidR="005853A9" w:rsidRPr="005853A9">
        <w:t xml:space="preserve"> </w:t>
      </w:r>
    </w:p>
    <w:p w14:paraId="25151EF0" w14:textId="1642A5EC" w:rsidR="005853A9" w:rsidRPr="003913DF" w:rsidRDefault="005853A9" w:rsidP="00D66188">
      <w:pPr>
        <w:pStyle w:val="ListParagraph"/>
        <w:numPr>
          <w:ilvl w:val="0"/>
          <w:numId w:val="21"/>
        </w:numPr>
        <w:ind w:right="-22"/>
      </w:pPr>
      <w:r>
        <w:t>R4</w:t>
      </w:r>
      <w:r w:rsidRPr="003913DF">
        <w:t>-2</w:t>
      </w:r>
      <w:r w:rsidR="003913DF" w:rsidRPr="003913DF">
        <w:t>300687</w:t>
      </w:r>
      <w:r w:rsidRPr="003913DF">
        <w:t xml:space="preserve">, </w:t>
      </w:r>
      <w:r w:rsidRPr="003913DF">
        <w:rPr>
          <w:i/>
          <w:iCs/>
        </w:rPr>
        <w:t>Mobile IAB co-existence</w:t>
      </w:r>
      <w:r w:rsidRPr="003913DF">
        <w:t>, Nokia, Nokia Shanghai Bell</w:t>
      </w:r>
    </w:p>
    <w:p w14:paraId="2266DAB5" w14:textId="1913CE1D" w:rsidR="006E58FB" w:rsidRPr="003913DF" w:rsidRDefault="003913DF" w:rsidP="00D66188">
      <w:pPr>
        <w:pStyle w:val="ListParagraph"/>
        <w:numPr>
          <w:ilvl w:val="0"/>
          <w:numId w:val="21"/>
        </w:numPr>
        <w:ind w:right="-22"/>
      </w:pPr>
      <w:r w:rsidRPr="003913DF">
        <w:rPr>
          <w:rStyle w:val="ui-provider"/>
        </w:rPr>
        <w:t>R4-2301357</w:t>
      </w:r>
      <w:r w:rsidR="006E58FB" w:rsidRPr="003913DF">
        <w:t xml:space="preserve">, </w:t>
      </w:r>
      <w:r w:rsidR="006E58FB" w:rsidRPr="003913DF">
        <w:rPr>
          <w:i/>
          <w:iCs/>
        </w:rPr>
        <w:t>Mobile IAB RRM considerations</w:t>
      </w:r>
      <w:r w:rsidR="006E58FB" w:rsidRPr="003913DF">
        <w:t>, Nokia, Nokia Shanghai Bell</w:t>
      </w:r>
    </w:p>
    <w:p w14:paraId="69C25E47" w14:textId="30F2E24D" w:rsidR="003936CC" w:rsidRPr="00B85140" w:rsidRDefault="003936CC" w:rsidP="00D66188">
      <w:pPr>
        <w:pStyle w:val="ListParagraph"/>
        <w:numPr>
          <w:ilvl w:val="0"/>
          <w:numId w:val="21"/>
        </w:numPr>
        <w:ind w:right="-22"/>
      </w:pPr>
      <w:r w:rsidRPr="003913DF">
        <w:t>R4-23</w:t>
      </w:r>
      <w:r w:rsidR="003913DF" w:rsidRPr="003913DF">
        <w:t>00688</w:t>
      </w:r>
      <w:r>
        <w:t xml:space="preserve">, </w:t>
      </w:r>
      <w:r w:rsidRPr="003936CC">
        <w:t>Mobile IAB – RF core requirements</w:t>
      </w:r>
      <w:r>
        <w:t>, Nokia, Nokia Shanghai Bell</w:t>
      </w:r>
    </w:p>
    <w:bookmarkEnd w:id="24"/>
    <w:p w14:paraId="6B0AD53F" w14:textId="77777777" w:rsidR="00B85140" w:rsidRPr="00B85140" w:rsidRDefault="00B85140" w:rsidP="00B85140">
      <w:pPr>
        <w:ind w:right="-22"/>
      </w:pPr>
    </w:p>
    <w:sectPr w:rsidR="00B85140" w:rsidRPr="00B8514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95B07" w14:textId="77777777" w:rsidR="00A276CE" w:rsidRDefault="00A276CE" w:rsidP="00001C9B">
      <w:pPr>
        <w:spacing w:after="0" w:line="240" w:lineRule="auto"/>
      </w:pPr>
      <w:r>
        <w:separator/>
      </w:r>
    </w:p>
  </w:endnote>
  <w:endnote w:type="continuationSeparator" w:id="0">
    <w:p w14:paraId="2E6F4C7A" w14:textId="77777777" w:rsidR="00A276CE" w:rsidRDefault="00A276CE" w:rsidP="00001C9B">
      <w:pPr>
        <w:spacing w:after="0" w:line="240" w:lineRule="auto"/>
      </w:pPr>
      <w:r>
        <w:continuationSeparator/>
      </w:r>
    </w:p>
  </w:endnote>
  <w:endnote w:type="continuationNotice" w:id="1">
    <w:p w14:paraId="64EDAA9B" w14:textId="77777777" w:rsidR="00A276CE" w:rsidRDefault="00A276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ricsson Hild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DAA6D" w14:textId="77777777" w:rsidR="00A276CE" w:rsidRDefault="00A276CE" w:rsidP="00001C9B">
      <w:pPr>
        <w:spacing w:after="0" w:line="240" w:lineRule="auto"/>
      </w:pPr>
      <w:r>
        <w:separator/>
      </w:r>
    </w:p>
  </w:footnote>
  <w:footnote w:type="continuationSeparator" w:id="0">
    <w:p w14:paraId="50AA54E2" w14:textId="77777777" w:rsidR="00A276CE" w:rsidRDefault="00A276CE" w:rsidP="00001C9B">
      <w:pPr>
        <w:spacing w:after="0" w:line="240" w:lineRule="auto"/>
      </w:pPr>
      <w:r>
        <w:continuationSeparator/>
      </w:r>
    </w:p>
  </w:footnote>
  <w:footnote w:type="continuationNotice" w:id="1">
    <w:p w14:paraId="2AF3EB28" w14:textId="77777777" w:rsidR="00A276CE" w:rsidRDefault="00A276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5"/>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7"/>
    <w:lvlOverride w:ilvl="0">
      <w:startOverride w:val="1"/>
    </w:lvlOverride>
  </w:num>
  <w:num w:numId="23">
    <w:abstractNumId w:val="8"/>
    <w:lvlOverride w:ilvl="0">
      <w:startOverride w:val="1"/>
    </w:lvlOverride>
  </w:num>
  <w:num w:numId="24">
    <w:abstractNumId w:val="2"/>
  </w:num>
  <w:num w:numId="25">
    <w:abstractNumId w:val="0"/>
  </w:num>
  <w:num w:numId="26">
    <w:abstractNumId w:val="0"/>
    <w:lvlOverride w:ilvl="0">
      <w:startOverride w:val="1"/>
    </w:lvlOverride>
  </w:num>
  <w:num w:numId="27">
    <w:abstractNumId w:val="14"/>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B6B90"/>
    <w:rsid w:val="00001C9B"/>
    <w:rsid w:val="000040DC"/>
    <w:rsid w:val="000151EF"/>
    <w:rsid w:val="000239F5"/>
    <w:rsid w:val="0008612A"/>
    <w:rsid w:val="00090E18"/>
    <w:rsid w:val="000A10BC"/>
    <w:rsid w:val="000A3123"/>
    <w:rsid w:val="000B0056"/>
    <w:rsid w:val="000B3430"/>
    <w:rsid w:val="000C3C7B"/>
    <w:rsid w:val="000D0F93"/>
    <w:rsid w:val="000D1A9B"/>
    <w:rsid w:val="00106416"/>
    <w:rsid w:val="00110481"/>
    <w:rsid w:val="001127C9"/>
    <w:rsid w:val="00115B88"/>
    <w:rsid w:val="00132F6A"/>
    <w:rsid w:val="00133913"/>
    <w:rsid w:val="00140221"/>
    <w:rsid w:val="00147FF1"/>
    <w:rsid w:val="00161489"/>
    <w:rsid w:val="00163417"/>
    <w:rsid w:val="001642FC"/>
    <w:rsid w:val="0016496B"/>
    <w:rsid w:val="001743E2"/>
    <w:rsid w:val="001745F8"/>
    <w:rsid w:val="001838CF"/>
    <w:rsid w:val="001868EE"/>
    <w:rsid w:val="001A3BA4"/>
    <w:rsid w:val="001A6D1F"/>
    <w:rsid w:val="001E14ED"/>
    <w:rsid w:val="001E30F6"/>
    <w:rsid w:val="002149DB"/>
    <w:rsid w:val="00217D0D"/>
    <w:rsid w:val="00217EE5"/>
    <w:rsid w:val="00230B60"/>
    <w:rsid w:val="00235F5C"/>
    <w:rsid w:val="00257FA3"/>
    <w:rsid w:val="00277B56"/>
    <w:rsid w:val="002A19F5"/>
    <w:rsid w:val="002B4922"/>
    <w:rsid w:val="002C22C3"/>
    <w:rsid w:val="002C2D19"/>
    <w:rsid w:val="002D10FA"/>
    <w:rsid w:val="002D18AD"/>
    <w:rsid w:val="002D476C"/>
    <w:rsid w:val="002D4C55"/>
    <w:rsid w:val="002E243B"/>
    <w:rsid w:val="002E6DED"/>
    <w:rsid w:val="00300956"/>
    <w:rsid w:val="00317187"/>
    <w:rsid w:val="0032499A"/>
    <w:rsid w:val="003341F7"/>
    <w:rsid w:val="00340F8E"/>
    <w:rsid w:val="00347FEC"/>
    <w:rsid w:val="00356F45"/>
    <w:rsid w:val="00366B74"/>
    <w:rsid w:val="003913DF"/>
    <w:rsid w:val="003936CC"/>
    <w:rsid w:val="003A0A1B"/>
    <w:rsid w:val="003A710A"/>
    <w:rsid w:val="003B1082"/>
    <w:rsid w:val="003B391E"/>
    <w:rsid w:val="003B659E"/>
    <w:rsid w:val="003C275E"/>
    <w:rsid w:val="003E58DF"/>
    <w:rsid w:val="00404C4C"/>
    <w:rsid w:val="0041423F"/>
    <w:rsid w:val="00414F81"/>
    <w:rsid w:val="00436A0F"/>
    <w:rsid w:val="00437150"/>
    <w:rsid w:val="0043750A"/>
    <w:rsid w:val="00445629"/>
    <w:rsid w:val="004732E9"/>
    <w:rsid w:val="004854BB"/>
    <w:rsid w:val="00486C42"/>
    <w:rsid w:val="00496606"/>
    <w:rsid w:val="004A06E7"/>
    <w:rsid w:val="004A275E"/>
    <w:rsid w:val="004D0FFC"/>
    <w:rsid w:val="004E5E66"/>
    <w:rsid w:val="004E7ADB"/>
    <w:rsid w:val="00503B4D"/>
    <w:rsid w:val="00504EE9"/>
    <w:rsid w:val="00521576"/>
    <w:rsid w:val="005250E6"/>
    <w:rsid w:val="00542D23"/>
    <w:rsid w:val="0054442C"/>
    <w:rsid w:val="00545871"/>
    <w:rsid w:val="00550285"/>
    <w:rsid w:val="00562492"/>
    <w:rsid w:val="00572A20"/>
    <w:rsid w:val="005836F8"/>
    <w:rsid w:val="005853A9"/>
    <w:rsid w:val="005918FA"/>
    <w:rsid w:val="00592A86"/>
    <w:rsid w:val="005A7756"/>
    <w:rsid w:val="005B4801"/>
    <w:rsid w:val="005C23A4"/>
    <w:rsid w:val="005D1CDF"/>
    <w:rsid w:val="005D2BB7"/>
    <w:rsid w:val="005E61A8"/>
    <w:rsid w:val="005E6DBE"/>
    <w:rsid w:val="005F6419"/>
    <w:rsid w:val="0060543D"/>
    <w:rsid w:val="0060758A"/>
    <w:rsid w:val="006104DD"/>
    <w:rsid w:val="006130B5"/>
    <w:rsid w:val="00617400"/>
    <w:rsid w:val="00632D29"/>
    <w:rsid w:val="00664950"/>
    <w:rsid w:val="00683220"/>
    <w:rsid w:val="00687FA0"/>
    <w:rsid w:val="006A3C11"/>
    <w:rsid w:val="006B7010"/>
    <w:rsid w:val="006C3095"/>
    <w:rsid w:val="006C7DAB"/>
    <w:rsid w:val="006D3B4E"/>
    <w:rsid w:val="006D6ACD"/>
    <w:rsid w:val="006E1151"/>
    <w:rsid w:val="006E58FB"/>
    <w:rsid w:val="006E6311"/>
    <w:rsid w:val="007145FF"/>
    <w:rsid w:val="00715B2A"/>
    <w:rsid w:val="00726118"/>
    <w:rsid w:val="00737EB6"/>
    <w:rsid w:val="007450F1"/>
    <w:rsid w:val="00751515"/>
    <w:rsid w:val="007626B7"/>
    <w:rsid w:val="0078212B"/>
    <w:rsid w:val="00784DF6"/>
    <w:rsid w:val="00785232"/>
    <w:rsid w:val="007B186C"/>
    <w:rsid w:val="007B67EB"/>
    <w:rsid w:val="007C1696"/>
    <w:rsid w:val="007C3ED0"/>
    <w:rsid w:val="007C5971"/>
    <w:rsid w:val="007F54B9"/>
    <w:rsid w:val="00806A76"/>
    <w:rsid w:val="00811C9D"/>
    <w:rsid w:val="00816C80"/>
    <w:rsid w:val="00826A06"/>
    <w:rsid w:val="00834973"/>
    <w:rsid w:val="00841BCD"/>
    <w:rsid w:val="00851A8E"/>
    <w:rsid w:val="0085365B"/>
    <w:rsid w:val="008826C1"/>
    <w:rsid w:val="00883DFD"/>
    <w:rsid w:val="00896563"/>
    <w:rsid w:val="008A1BF7"/>
    <w:rsid w:val="008A5B0E"/>
    <w:rsid w:val="008B0961"/>
    <w:rsid w:val="0090091A"/>
    <w:rsid w:val="009042BD"/>
    <w:rsid w:val="00936159"/>
    <w:rsid w:val="00970357"/>
    <w:rsid w:val="00976BEE"/>
    <w:rsid w:val="00977E1D"/>
    <w:rsid w:val="009B0573"/>
    <w:rsid w:val="009B7B4B"/>
    <w:rsid w:val="009B7C21"/>
    <w:rsid w:val="00A04992"/>
    <w:rsid w:val="00A05BC4"/>
    <w:rsid w:val="00A147AA"/>
    <w:rsid w:val="00A21D71"/>
    <w:rsid w:val="00A22B78"/>
    <w:rsid w:val="00A2390C"/>
    <w:rsid w:val="00A25AE5"/>
    <w:rsid w:val="00A276CE"/>
    <w:rsid w:val="00A37002"/>
    <w:rsid w:val="00A4355E"/>
    <w:rsid w:val="00A92BCD"/>
    <w:rsid w:val="00AA1B0E"/>
    <w:rsid w:val="00AA47B6"/>
    <w:rsid w:val="00AC163B"/>
    <w:rsid w:val="00AC5CA7"/>
    <w:rsid w:val="00AC6058"/>
    <w:rsid w:val="00AE2BA5"/>
    <w:rsid w:val="00AE56B1"/>
    <w:rsid w:val="00AE6D09"/>
    <w:rsid w:val="00AF7A7C"/>
    <w:rsid w:val="00B21AA1"/>
    <w:rsid w:val="00B408B6"/>
    <w:rsid w:val="00B542DA"/>
    <w:rsid w:val="00B60D31"/>
    <w:rsid w:val="00B73862"/>
    <w:rsid w:val="00B73F43"/>
    <w:rsid w:val="00B85140"/>
    <w:rsid w:val="00BA0C08"/>
    <w:rsid w:val="00BA6B66"/>
    <w:rsid w:val="00BA6E48"/>
    <w:rsid w:val="00BB6B90"/>
    <w:rsid w:val="00BE0AF6"/>
    <w:rsid w:val="00BE1F03"/>
    <w:rsid w:val="00BE58A7"/>
    <w:rsid w:val="00BF2218"/>
    <w:rsid w:val="00BF475E"/>
    <w:rsid w:val="00C0426B"/>
    <w:rsid w:val="00C045DF"/>
    <w:rsid w:val="00C26D43"/>
    <w:rsid w:val="00C46548"/>
    <w:rsid w:val="00C574D5"/>
    <w:rsid w:val="00C73F32"/>
    <w:rsid w:val="00C87462"/>
    <w:rsid w:val="00CA180C"/>
    <w:rsid w:val="00CB22B2"/>
    <w:rsid w:val="00CB3D64"/>
    <w:rsid w:val="00CC3EE2"/>
    <w:rsid w:val="00CD7492"/>
    <w:rsid w:val="00CE3A6B"/>
    <w:rsid w:val="00CF1C5D"/>
    <w:rsid w:val="00D00211"/>
    <w:rsid w:val="00D01D45"/>
    <w:rsid w:val="00D06309"/>
    <w:rsid w:val="00D351EA"/>
    <w:rsid w:val="00D40288"/>
    <w:rsid w:val="00D43403"/>
    <w:rsid w:val="00D5270B"/>
    <w:rsid w:val="00D60C10"/>
    <w:rsid w:val="00D62E71"/>
    <w:rsid w:val="00D6430D"/>
    <w:rsid w:val="00D66188"/>
    <w:rsid w:val="00D731F6"/>
    <w:rsid w:val="00D740CA"/>
    <w:rsid w:val="00D85728"/>
    <w:rsid w:val="00D868A6"/>
    <w:rsid w:val="00D95481"/>
    <w:rsid w:val="00DC7A13"/>
    <w:rsid w:val="00DD69BB"/>
    <w:rsid w:val="00DE5973"/>
    <w:rsid w:val="00DF2997"/>
    <w:rsid w:val="00E031EC"/>
    <w:rsid w:val="00E10BC4"/>
    <w:rsid w:val="00E1415D"/>
    <w:rsid w:val="00E323E9"/>
    <w:rsid w:val="00E34018"/>
    <w:rsid w:val="00E437D2"/>
    <w:rsid w:val="00E55751"/>
    <w:rsid w:val="00EA2311"/>
    <w:rsid w:val="00EC3094"/>
    <w:rsid w:val="00EC7BC3"/>
    <w:rsid w:val="00ED7600"/>
    <w:rsid w:val="00EF6073"/>
    <w:rsid w:val="00EF698B"/>
    <w:rsid w:val="00F1362C"/>
    <w:rsid w:val="00F414F1"/>
    <w:rsid w:val="00F508B8"/>
    <w:rsid w:val="00F72CB1"/>
    <w:rsid w:val="00F8215E"/>
    <w:rsid w:val="00F824F5"/>
    <w:rsid w:val="00F9374D"/>
    <w:rsid w:val="00FC29B9"/>
    <w:rsid w:val="00FC6FD3"/>
    <w:rsid w:val="00FD2FE5"/>
    <w:rsid w:val="00FE305C"/>
    <w:rsid w:val="00FE34C0"/>
    <w:rsid w:val="00FF0301"/>
    <w:rsid w:val="05B1E92F"/>
    <w:rsid w:val="06BED47F"/>
    <w:rsid w:val="07E5475C"/>
    <w:rsid w:val="08417C83"/>
    <w:rsid w:val="086270C2"/>
    <w:rsid w:val="170DF00C"/>
    <w:rsid w:val="1C1812D7"/>
    <w:rsid w:val="1F5DB468"/>
    <w:rsid w:val="1F76DCC5"/>
    <w:rsid w:val="2112AD26"/>
    <w:rsid w:val="21BE310A"/>
    <w:rsid w:val="29F859A1"/>
    <w:rsid w:val="2CCB622C"/>
    <w:rsid w:val="2F009B85"/>
    <w:rsid w:val="315B5E18"/>
    <w:rsid w:val="329A3E1D"/>
    <w:rsid w:val="39022938"/>
    <w:rsid w:val="39202B67"/>
    <w:rsid w:val="3AC56409"/>
    <w:rsid w:val="42EF353E"/>
    <w:rsid w:val="459731C1"/>
    <w:rsid w:val="466F92A7"/>
    <w:rsid w:val="47002595"/>
    <w:rsid w:val="4FD2ACEE"/>
    <w:rsid w:val="5099F35A"/>
    <w:rsid w:val="5818B717"/>
    <w:rsid w:val="64AB0704"/>
    <w:rsid w:val="697E7827"/>
    <w:rsid w:val="6C0E0B7B"/>
    <w:rsid w:val="6FF5A731"/>
    <w:rsid w:val="7504F2CD"/>
    <w:rsid w:val="7CD42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F6DDC"/>
  <w15:chartTrackingRefBased/>
  <w15:docId w15:val="{80A37C1A-D635-4A39-A531-662EF647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Ericsson Hilda" w:hAnsi="Ericsson Hild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maintextChar">
    <w:name w:val="main text Char"/>
    <w:link w:val="maintext"/>
    <w:qFormat/>
    <w:locked/>
    <w:rsid w:val="003B391E"/>
    <w:rPr>
      <w:rFonts w:eastAsia="Malgun Gothic" w:cs="Batang"/>
      <w:lang w:eastAsia="ko-KR"/>
    </w:rPr>
  </w:style>
  <w:style w:type="paragraph" w:customStyle="1" w:styleId="maintext">
    <w:name w:val="main text"/>
    <w:basedOn w:val="Normal"/>
    <w:link w:val="maintextChar"/>
    <w:qFormat/>
    <w:rsid w:val="003B391E"/>
    <w:pPr>
      <w:spacing w:before="60" w:after="60" w:line="288" w:lineRule="auto"/>
      <w:ind w:firstLineChars="200" w:firstLine="200"/>
      <w:jc w:val="both"/>
    </w:pPr>
    <w:rPr>
      <w:rFonts w:asciiTheme="minorHAnsi" w:eastAsia="Malgun Gothic" w:hAnsiTheme="minorHAnsi" w:cs="Batang"/>
      <w:sz w:val="22"/>
      <w:lang w:eastAsia="ko-KR"/>
    </w:rPr>
  </w:style>
  <w:style w:type="paragraph" w:styleId="Header">
    <w:name w:val="header"/>
    <w:basedOn w:val="Normal"/>
    <w:link w:val="HeaderChar"/>
    <w:uiPriority w:val="99"/>
    <w:semiHidden/>
    <w:unhideWhenUsed/>
    <w:rsid w:val="00147FF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7FF1"/>
    <w:rPr>
      <w:rFonts w:ascii="Times New Roman" w:hAnsi="Times New Roman"/>
      <w:sz w:val="20"/>
    </w:rPr>
  </w:style>
  <w:style w:type="paragraph" w:styleId="Footer">
    <w:name w:val="footer"/>
    <w:basedOn w:val="Normal"/>
    <w:link w:val="FooterChar"/>
    <w:uiPriority w:val="99"/>
    <w:semiHidden/>
    <w:unhideWhenUsed/>
    <w:rsid w:val="00147FF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7FF1"/>
    <w:rPr>
      <w:rFonts w:ascii="Times New Roman" w:hAnsi="Times New Roman"/>
      <w:sz w:val="20"/>
    </w:rPr>
  </w:style>
  <w:style w:type="character" w:customStyle="1" w:styleId="ui-provider">
    <w:name w:val="ui-provider"/>
    <w:basedOn w:val="DefaultParagraphFont"/>
    <w:rsid w:val="0039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54368">
      <w:bodyDiv w:val="1"/>
      <w:marLeft w:val="0"/>
      <w:marRight w:val="0"/>
      <w:marTop w:val="0"/>
      <w:marBottom w:val="0"/>
      <w:divBdr>
        <w:top w:val="none" w:sz="0" w:space="0" w:color="auto"/>
        <w:left w:val="none" w:sz="0" w:space="0" w:color="auto"/>
        <w:bottom w:val="none" w:sz="0" w:space="0" w:color="auto"/>
        <w:right w:val="none" w:sz="0" w:space="0" w:color="auto"/>
      </w:divBdr>
    </w:div>
    <w:div w:id="248008647">
      <w:bodyDiv w:val="1"/>
      <w:marLeft w:val="0"/>
      <w:marRight w:val="0"/>
      <w:marTop w:val="0"/>
      <w:marBottom w:val="0"/>
      <w:divBdr>
        <w:top w:val="none" w:sz="0" w:space="0" w:color="auto"/>
        <w:left w:val="none" w:sz="0" w:space="0" w:color="auto"/>
        <w:bottom w:val="none" w:sz="0" w:space="0" w:color="auto"/>
        <w:right w:val="none" w:sz="0" w:space="0" w:color="auto"/>
      </w:divBdr>
      <w:divsChild>
        <w:div w:id="23214017">
          <w:marLeft w:val="0"/>
          <w:marRight w:val="0"/>
          <w:marTop w:val="0"/>
          <w:marBottom w:val="0"/>
          <w:divBdr>
            <w:top w:val="none" w:sz="0" w:space="0" w:color="auto"/>
            <w:left w:val="none" w:sz="0" w:space="0" w:color="auto"/>
            <w:bottom w:val="none" w:sz="0" w:space="0" w:color="auto"/>
            <w:right w:val="none" w:sz="0" w:space="0" w:color="auto"/>
          </w:divBdr>
          <w:divsChild>
            <w:div w:id="329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93586">
      <w:bodyDiv w:val="1"/>
      <w:marLeft w:val="0"/>
      <w:marRight w:val="0"/>
      <w:marTop w:val="0"/>
      <w:marBottom w:val="0"/>
      <w:divBdr>
        <w:top w:val="none" w:sz="0" w:space="0" w:color="auto"/>
        <w:left w:val="none" w:sz="0" w:space="0" w:color="auto"/>
        <w:bottom w:val="none" w:sz="0" w:space="0" w:color="auto"/>
        <w:right w:val="none" w:sz="0" w:space="0" w:color="auto"/>
      </w:divBdr>
    </w:div>
    <w:div w:id="1672754483">
      <w:bodyDiv w:val="1"/>
      <w:marLeft w:val="0"/>
      <w:marRight w:val="0"/>
      <w:marTop w:val="0"/>
      <w:marBottom w:val="0"/>
      <w:divBdr>
        <w:top w:val="none" w:sz="0" w:space="0" w:color="auto"/>
        <w:left w:val="none" w:sz="0" w:space="0" w:color="auto"/>
        <w:bottom w:val="none" w:sz="0" w:space="0" w:color="auto"/>
        <w:right w:val="none" w:sz="0" w:space="0" w:color="auto"/>
      </w:divBdr>
    </w:div>
    <w:div w:id="1826310732">
      <w:bodyDiv w:val="1"/>
      <w:marLeft w:val="0"/>
      <w:marRight w:val="0"/>
      <w:marTop w:val="0"/>
      <w:marBottom w:val="0"/>
      <w:divBdr>
        <w:top w:val="none" w:sz="0" w:space="0" w:color="auto"/>
        <w:left w:val="none" w:sz="0" w:space="0" w:color="auto"/>
        <w:bottom w:val="none" w:sz="0" w:space="0" w:color="auto"/>
        <w:right w:val="none" w:sz="0" w:space="0" w:color="auto"/>
      </w:divBdr>
      <w:divsChild>
        <w:div w:id="1677733450">
          <w:marLeft w:val="0"/>
          <w:marRight w:val="0"/>
          <w:marTop w:val="0"/>
          <w:marBottom w:val="0"/>
          <w:divBdr>
            <w:top w:val="none" w:sz="0" w:space="0" w:color="auto"/>
            <w:left w:val="none" w:sz="0" w:space="0" w:color="auto"/>
            <w:bottom w:val="none" w:sz="0" w:space="0" w:color="auto"/>
            <w:right w:val="none" w:sz="0" w:space="0" w:color="auto"/>
          </w:divBdr>
          <w:divsChild>
            <w:div w:id="46701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keskita\Download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https://nokia.sharepoint.com/sites/c5g/5gradio/_layouts/15/DocIdRedir.aspx?ID=5AIRPNAIUNRU-1328258698-19384</Url>
      <Description>5AIRPNAIUNRU-1328258698-19384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18</TotalTime>
  <Pages>1</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Ilkka Keskitalo (Nokia)</dc:creator>
  <cp:keywords>3GPP;RAN4</cp:keywords>
  <dc:description/>
  <cp:lastModifiedBy>Nokia - Bartlomiej Golebiowski</cp:lastModifiedBy>
  <cp:revision>44</cp:revision>
  <dcterms:created xsi:type="dcterms:W3CDTF">2023-01-17T10:13:00Z</dcterms:created>
  <dcterms:modified xsi:type="dcterms:W3CDTF">2023-02-17T12:26:00Z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621abbb7-5106-4312-9271-8057b36827ce</vt:lpwstr>
  </property>
  <property fmtid="{D5CDD505-2E9C-101B-9397-08002B2CF9AE}" pid="11" name="MediaServiceImageTags">
    <vt:lpwstr/>
  </property>
</Properties>
</file>